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86-A</w:t>
        <w:t xml:space="preserve">.  </w:t>
      </w:r>
      <w:r>
        <w:rPr>
          <w:b/>
        </w:rPr>
        <w:t xml:space="preserve">Controlled substances</w:t>
      </w:r>
    </w:p>
    <w:p>
      <w:pPr>
        <w:jc w:val="both"/>
        <w:spacing w:before="100" w:after="100"/>
        <w:ind w:start="360"/>
        <w:ind w:firstLine="360"/>
      </w:pPr>
      <w:r>
        <w:rPr/>
      </w:r>
      <w:r>
        <w:rPr/>
      </w:r>
      <w:r>
        <w:t xml:space="preserve">Notwithstanding any provision of law to the contrary, an ambulance service, nontransporting emergency medical service, community paramedicine service, emergency medical services person and community paramedicine clinician that are licensed by the board, or in the case of a community paramedicine service is authorized by the board, to provide advanced emergency medical treatment or community paramedicine, in accordance with rules adopted by the board, may procure, possess, administer and furnish controlled substances as defined in </w:t>
      </w:r>
      <w:r>
        <w:t>Title 22, section 2383‑B, subsection 3, paragraph A</w:t>
      </w:r>
      <w:r>
        <w:t xml:space="preserve">.  Rules adopted pursuant to this section are routine technical rules as defined in </w:t>
      </w:r>
      <w:r>
        <w:t>Title 5, chapter 375, subchapter 2‑A</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654, §4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654, §4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§86-A. Controlled substances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§86-A. Controlled substances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§86-A. CONTROLLED SUBSTANCES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