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When stored-value obligation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the net obligation value of a stored-value obligation is presumed abandoned on the latest of 3 years after:</w:t>
      </w:r>
    </w:p>
    <w:p>
      <w:pPr>
        <w:jc w:val="both"/>
        <w:spacing w:before="100" w:after="0"/>
        <w:ind w:start="720"/>
      </w:pPr>
      <w:r>
        <w:rPr/>
        <w:t>A</w:t>
        <w:t xml:space="preserve">.  </w:t>
      </w:r>
      <w:r>
        <w:rPr/>
      </w:r>
      <w:r>
        <w:t xml:space="preserve">December 31st of the year in which the obligation is issued or additional funds are deposited into 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most recent indication of interest in the obligation by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verification or review of the balance by or on behalf of the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Amount presumed abandoned.</w:t>
        <w:t xml:space="preserve"> </w:t>
      </w:r>
      <w:r>
        <w:t xml:space="preserve"> </w:t>
      </w:r>
      <w:r>
        <w:t xml:space="preserve">The amount presumed abandoned in a stored-value obligation is the net obligation value at the time it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period of limitation, limited charges or fees; exceptions, disclosure.</w:t>
        <w:t xml:space="preserve"> </w:t>
      </w:r>
      <w:r>
        <w:t xml:space="preserve"> </w:t>
      </w:r>
      <w:r>
        <w:t xml:space="preserve">Notwithstanding </w:t>
      </w:r>
      <w:r>
        <w:t>section 2112</w:t>
      </w:r>
      <w:r>
        <w:t xml:space="preserve">, fees, charges or a period of limitation may not be imposed on stored-value obligations, except that the issuer may charge a transaction fee for the initial issuance and for each occurrence of adding value to an existing stored-value obligation.  These fees must be disclosed in a separate writing prior to the initial issuance or referenced on the stored-value obligation.  Fee restrictions do not apply to any stored-value obligation that enables the holder to transfer the underlying funds to multiple unaffiliated merchants at the merchants' point-of-sale terminals or online or at an automated teller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§1 (AMD).]</w:t>
      </w:r>
    </w:p>
    <w:p>
      <w:pPr>
        <w:jc w:val="both"/>
        <w:spacing w:before="100" w:after="0"/>
        <w:ind w:start="360"/>
        <w:ind w:firstLine="360"/>
      </w:pPr>
      <w:r>
        <w:rPr>
          <w:b/>
        </w:rPr>
        <w:t>4</w:t>
        <w:t xml:space="preserve">.  </w:t>
      </w:r>
      <w:r>
        <w:rPr>
          <w:b/>
        </w:rPr>
        <w:t xml:space="preserve">Redemption; balance in cash.</w:t>
        <w:t xml:space="preserve"> </w:t>
      </w:r>
      <w:r>
        <w:t xml:space="preserve"> </w:t>
      </w:r>
      <w:r>
        <w:t xml:space="preserve">If a stored-value obligation is redeemed in person and a balance of less than $5 remains following redemption, at the consumer's request the merchant redeeming the stored-value obligation must refund the balance in cash to the consumer.  This subsection does not apply to a stored-value obligation with an initial value of $5 or less, or a stored-value obligation that is not purchased but provided as a promotion or as a refund for merchandise returned without a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§2066. When stored-value obligation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When stored-value obligation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§2066. WHEN STORED-VALUE OBLIGATION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