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§2070. Indication of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Indication of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§2070. INDICATION OF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