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§2114. EFFECT OF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