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2136</w:t>
        <w:t xml:space="preserve">.  </w:t>
      </w:r>
      <w:r>
        <w:rPr>
          <w:b/>
        </w:rPr>
        <w:t xml:space="preserve">Liquidation of virtual currency</w:t>
      </w:r>
    </w:p>
    <w:p>
      <w:pPr>
        <w:jc w:val="both"/>
        <w:spacing w:before="100" w:after="100"/>
        <w:ind w:start="360"/>
        <w:ind w:firstLine="360"/>
      </w:pPr>
      <w:r>
        <w:rPr/>
      </w:r>
      <w:r>
        <w:rPr/>
      </w:r>
      <w:r>
        <w:t xml:space="preserve">Liquidation of presumed abandoned virtual currency must be undertaken in accordance with </w:t>
      </w:r>
      <w:r>
        <w:t>section 2067‑A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675, §28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675, §28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§2136. Liquidation of virtual currency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§2136. Liquidation of virtual currency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33, §2136. LIQUIDATION OF VIRTUAL CURRENCY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