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Confidential information</w:t>
      </w:r>
    </w:p>
    <w:p>
      <w:pPr>
        <w:jc w:val="both"/>
        <w:spacing w:before="100" w:after="100"/>
        <w:ind w:start="360"/>
        <w:ind w:firstLine="360"/>
      </w:pPr>
      <w:r>
        <w:rPr>
          <w:b/>
        </w:rPr>
        <w:t>1</w:t>
        <w:t xml:space="preserve">.  </w:t>
      </w:r>
      <w:r>
        <w:rPr>
          <w:b/>
        </w:rPr>
        <w:t xml:space="preserve">Confidential.</w:t>
        <w:t xml:space="preserve"> </w:t>
      </w:r>
      <w:r>
        <w:t xml:space="preserve"> </w:t>
      </w:r>
      <w:r>
        <w:t xml:space="preserve">Except as otherwise provided in this Act, the following are confidential and exempt from public inspection and disclosure:</w:t>
      </w:r>
    </w:p>
    <w:p>
      <w:pPr>
        <w:jc w:val="both"/>
        <w:spacing w:before="100" w:after="0"/>
        <w:ind w:start="720"/>
      </w:pPr>
      <w:r>
        <w:rPr/>
        <w:t>A</w:t>
        <w:t xml:space="preserve">.  </w:t>
      </w:r>
      <w:r>
        <w:rPr/>
      </w:r>
      <w:r>
        <w:t xml:space="preserve">Records of the administrator and the administrator's agent related to the administration of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Reports and records of a holder in the possession of the administrator or the administrator's agent;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Personal information and other information derived or otherwise obtained by or communicated to the administrator or the administrator's agent from an examination under this Act of the records of a person;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identity of a person subject to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Continues to be confidential.</w:t>
        <w:t xml:space="preserve"> </w:t>
      </w:r>
      <w:r>
        <w:t xml:space="preserve"> </w:t>
      </w:r>
      <w:r>
        <w:t xml:space="preserve">A record or other information that is confidential under the laws of this State other than this Act, of another state or of the United States continues to be confidential when disclosed or delivered under this Act to the administrator or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§2212.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§2212.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