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Administration of oaths and depositions</w:t>
      </w:r>
    </w:p>
    <w:p>
      <w:pPr>
        <w:jc w:val="both"/>
        <w:spacing w:before="100" w:after="100"/>
        <w:ind w:start="360"/>
        <w:ind w:firstLine="360"/>
      </w:pPr>
      <w:r>
        <w:rPr/>
      </w:r>
      <w:r>
        <w:rPr/>
      </w:r>
      <w:r>
        <w:t xml:space="preserve">Every commissioner appointed under </w:t>
      </w:r>
      <w:r>
        <w:t>section 251</w:t>
      </w:r>
      <w:r>
        <w:t xml:space="preserve"> may administer any oath lawfully required in this State to any person willing to take it; and take and duly certify all depositions to be used in any of the courts in this State, in conformity to the laws thereof, on interrogatories proposed under commission from a court of this State, by consent of parties or on legal notice given to the opposite party.  All such acts shall be as valid as if done and certified according to law by a judicial officer or notary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Administration of oaths and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Administration of oaths and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§253. ADMINISTRATION OF OATHS AND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