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w:t>
        <w:t xml:space="preserve">.  </w:t>
      </w:r>
      <w:r>
        <w:rPr>
          <w:b/>
        </w:rPr>
        <w:t xml:space="preserve">Transfer of named farm lands</w:t>
      </w:r>
    </w:p>
    <w:p>
      <w:pPr>
        <w:jc w:val="both"/>
        <w:spacing w:before="100" w:after="100"/>
        <w:ind w:start="360"/>
        <w:ind w:firstLine="360"/>
      </w:pPr>
      <w:r>
        <w:rPr/>
      </w:r>
      <w:r>
        <w:rPr/>
      </w:r>
      <w:r>
        <w:t xml:space="preserve">Whenever any owner of farm lands, the name of which has been recorded as provided in </w:t>
      </w:r>
      <w:r>
        <w:t>section 665</w:t>
      </w:r>
      <w:r>
        <w:t xml:space="preserve"> transfers by deed or otherwise the whole of such farm lands, such transfer may include the registered name thereof. If the owner shall transfer only a portion of such farm lands, then the registered name thereof shall not be transferred to the purchaser, unless so stated in the deed of conveyance.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§666. Transfer of named farm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 Transfer of named farm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§666. TRANSFER OF NAMED FARM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