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10206</w:t>
        <w:t xml:space="preserve">.  </w:t>
      </w:r>
      <w:r>
        <w:rPr>
          <w:b/>
        </w:rPr>
        <w:t xml:space="preserve">Commercial 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commercial property owner who has entered into a commercial PACE agreement under this chapter may purchase directly all goods and services for the energy savings improvements described in the commercial PACE agreement, subject to any applicable vendor certification required by the trust and other requirements of the trust.  Goods and services purchased by a commercial property owner for the energy savings improvements under a commercial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Rights.</w:t>
        <w:t xml:space="preserve"> </w:t>
      </w:r>
      <w:r>
        <w:t xml:space="preserve"> </w:t>
      </w:r>
      <w:r>
        <w:t xml:space="preserve">Commercial property owners retain all rights under contract or law against parties other than the municipality or the trust with respect to energy savings improvements financed through commercial PACE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§10206. Commercial property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§10206. Commercial property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§10206. COMMERCIAL PROPERTY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