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§3132-B. Small transmission and distribution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§3132-B. Small transmission and distribution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§3132-B. SMALL TRANSMISSION AND DISTRIBUTION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