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3180</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 any person who, as determined by the commission:</w:t>
      </w:r>
    </w:p>
    <w:p>
      <w:pPr>
        <w:jc w:val="both"/>
        <w:spacing w:before="100" w:after="0"/>
        <w:ind w:start="720"/>
      </w:pPr>
      <w:r>
        <w:rPr/>
        <w:t>A</w:t>
        <w:t xml:space="preserve">.  </w:t>
      </w:r>
      <w:r>
        <w:rPr/>
      </w:r>
      <w:r>
        <w:t xml:space="preserve">Directly controls, is controlled by or is under common control with an electric generation enterprise; or</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w:pPr>
        <w:jc w:val="both"/>
        <w:spacing w:before="100" w:after="0"/>
        <w:ind w:start="720"/>
      </w:pPr>
      <w:r>
        <w:rPr/>
        <w:t>B</w:t>
        <w:t xml:space="preserve">.  </w:t>
      </w:r>
      <w:r>
        <w:rPr/>
      </w:r>
      <w:r>
        <w:t xml:space="preserve">Substantially owns, is substantially owned by or is substantially under common ownership with, an electric generation enterprise.</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§B7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§3180.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§3180.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