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4509</w:t>
        <w:t xml:space="preserve">.  </w:t>
      </w:r>
      <w:r>
        <w:rPr>
          <w:b/>
        </w:rPr>
        <w:t xml:space="preserve">Application of this Title</w:t>
      </w:r>
    </w:p>
    <w:p>
      <w:pPr>
        <w:jc w:val="both"/>
        <w:spacing w:before="100" w:after="100"/>
        <w:ind w:start="360"/>
        <w:ind w:firstLine="360"/>
      </w:pPr>
      <w:r>
        <w:rPr/>
      </w:r>
      <w:r>
        <w:rPr/>
      </w:r>
      <w:r>
        <w:t xml:space="preserve">A natural gas pipeline utility is subject to all provisions of this Title as far as applicable and to the orders and rules adopted and promulgated by the commission under the authority of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§4509. Application of this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§4509. Application of this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§4509. APPLICATION OF THIS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