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6576</w:t>
        <w:t xml:space="preserve">.  </w:t>
      </w:r>
      <w:r>
        <w:rPr>
          <w:b/>
        </w:rPr>
        <w:t xml:space="preserve">Preamnesty settlements</w:t>
      </w:r>
    </w:p>
    <w:p>
      <w:pPr>
        <w:jc w:val="both"/>
        <w:spacing w:before="100" w:after="100"/>
        <w:ind w:start="360"/>
        <w:ind w:firstLine="360"/>
      </w:pPr>
      <w:r>
        <w:rPr/>
      </w:r>
      <w:r>
        <w:rPr/>
      </w:r>
      <w:r>
        <w:t xml:space="preserve">Notwithstanding any other provision of this chapter, the assessor shall, during the period beginning on the effective date of this chapter to August 31, 2003, make a settlement offer that requires full payment of tax and 1/2 of the accrued interest to any taxpayer that has a recorded and recognized delinquent State tax liability as of the effective date of this chapter.  The settlement offer authorized under this section does not apply to a taxpayer whose liability is the result of a criminal conviction or is currently charged with a criminal offense arising from a violation of the state tax law as provided in this Title or </w:t>
      </w:r>
      <w:r>
        <w:t>Title 17‑A</w:t>
      </w:r>
      <w:r>
        <w:t xml:space="preserve">, or has been referred to the Attorney General for criminal prosecution.</w:t>
      </w:r>
      <w:r>
        <w:t xml:space="preserve">  </w:t>
      </w:r>
      <w:r xmlns:wp="http://schemas.openxmlformats.org/drawingml/2010/wordprocessingDrawing" xmlns:w15="http://schemas.microsoft.com/office/word/2012/wordml">
        <w:rPr>
          <w:rFonts w:ascii="Arial" w:hAnsi="Arial" w:cs="Arial"/>
          <w:sz w:val="22"/>
          <w:szCs w:val="22"/>
        </w:rPr>
        <w:t xml:space="preserve">[PL 2003, c. 20, Pt. AA,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§AA4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§6576. Preamnesty settlements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§6576. Preamnesty settlements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§6576. PREAMNESTY SETTLEMENTS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