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Part may be known and cited and referred to in proceedings and agreements under this Part as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