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17104</w:t>
        <w:t xml:space="preserve">.  </w:t>
      </w:r>
      <w:r>
        <w:rPr>
          <w:b/>
        </w:rPr>
        <w:t xml:space="preserve">Powers of the board of trustees</w:t>
      </w:r>
    </w:p>
    <w:p>
      <w:pPr>
        <w:jc w:val="both"/>
        <w:spacing w:before="100" w:after="100"/>
        <w:ind w:start="360"/>
        <w:ind w:firstLine="360"/>
      </w:pPr>
      <w:r>
        <w:rPr/>
      </w:r>
      <w:r>
        <w:rPr/>
      </w:r>
      <w:r>
        <w:t xml:space="preserve">In addition to other powers set forth in this Part, the board may employ or contract with persons for investment counsel or advice and for other expert, professional or other assistance as may be appropriate to aid in carrying out the board's functions.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§17104. Powers of the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§17104. Powers of the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§17104. POWERS OF THE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