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26207</w:t>
        <w:t xml:space="preserve">.  </w:t>
      </w:r>
      <w:r>
        <w:rPr>
          <w:b/>
        </w:rPr>
        <w:t xml:space="preserve">Notification of child death</w:t>
      </w:r>
    </w:p>
    <w:p>
      <w:pPr>
        <w:jc w:val="both"/>
        <w:spacing w:before="100" w:after="100"/>
        <w:ind w:start="360"/>
        <w:ind w:firstLine="360"/>
      </w:pPr>
      <w:r>
        <w:rPr/>
      </w:r>
      <w:r>
        <w:rPr/>
      </w:r>
      <w:r>
        <w:t xml:space="preserve">The Department of Health and Human Services shall notify the Child Advocate of a death of a child if:</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360"/>
        <w:ind w:firstLine="360"/>
      </w:pPr>
      <w:r>
        <w:rPr>
          <w:b/>
        </w:rPr>
        <w:t>1</w:t>
        <w:t xml:space="preserve">.  </w:t>
      </w:r>
      <w:r>
        <w:rPr>
          <w:b/>
        </w:rPr>
        <w:t xml:space="preserve">Child welfare involvement.</w:t>
        <w:t xml:space="preserve"> </w:t>
      </w:r>
      <w:r>
        <w:t xml:space="preserve"> </w:t>
      </w:r>
      <w:r>
        <w:t xml:space="preserve">The child was involved with child welfare services at any time; 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2</w:t>
        <w:t xml:space="preserve">.  </w:t>
      </w:r>
      <w:r>
        <w:rPr>
          <w:b/>
        </w:rPr>
        <w:t xml:space="preserve">Abuse or neglect.</w:t>
        <w:t xml:space="preserve"> </w:t>
      </w:r>
      <w:r>
        <w:t xml:space="preserve"> </w:t>
      </w:r>
      <w:r>
        <w:t xml:space="preserve">The fatality is suspected of being the result of abuse or neglect as defined in </w:t>
      </w:r>
      <w:r>
        <w:t>Title 22, section 4002, subsection 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100"/>
        <w:ind w:start="360"/>
        <w:ind w:firstLine="360"/>
      </w:pPr>
      <w:r>
        <w:rPr/>
      </w:r>
      <w:r>
        <w:rPr/>
      </w:r>
      <w:r>
        <w:t xml:space="preserve">Notification under this section must occur within 48 hours of a determination by the department that this section applies to the child death.  The notification may be provided by oral or electronic communication.</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§26207. Notification of child death</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§26207. Notification of child death</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§26207. NOTIFICATION OF CHILD DEATH</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