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26210</w:t>
        <w:t xml:space="preserve">.  </w:t>
      </w:r>
      <w:r>
        <w:rPr>
          <w:b/>
        </w:rPr>
        <w:t xml:space="preserve">Rules</w:t>
      </w:r>
    </w:p>
    <w:p>
      <w:pPr>
        <w:jc w:val="both"/>
        <w:spacing w:before="100" w:after="100"/>
        <w:ind w:start="360"/>
        <w:ind w:firstLine="360"/>
      </w:pPr>
      <w:r>
        <w:rPr/>
      </w:r>
      <w:r>
        <w:rPr/>
      </w:r>
      <w:r>
        <w:t xml:space="preserve">The office shall adopt rules to carry out this chapter.  The rules must include, but are not limited to, procedures and processes related to the complaint system, case-specific reviews and coordination with other entities with overlapping jurisdiction and during co-occurring investigations or reviews, including state agencies; child advocacy centers established pursuant to </w:t>
      </w:r>
      <w:r>
        <w:t>Title 22, section 4019</w:t>
      </w:r>
      <w:r>
        <w:t xml:space="preserve">; the child death and serious injury review panel established pursuant to </w:t>
      </w:r>
      <w:r>
        <w:t>Title 22, section 4004, subsection 1, paragraph E</w:t>
      </w:r>
      <w:r>
        <w:t xml:space="preserve">; and criminal justice agencies as defined in </w:t>
      </w:r>
      <w:r>
        <w:t>Title 16, section 803, subsection 4</w:t>
      </w:r>
      <w:r>
        <w:t xml:space="preserve"> with responsibility for juvenile justice records collected pursuant to </w:t>
      </w:r>
      <w:r>
        <w:t>Title 15, sections 3308‑A</w:t>
      </w:r>
      <w:r>
        <w:t xml:space="preserve"> and </w:t>
      </w:r>
      <w:r>
        <w:t>3308‑B</w:t>
      </w:r>
      <w:r>
        <w:t xml:space="preserve">.  Rules adopted pursuant to this section are routine technical rules as defined in </w:t>
      </w:r>
      <w:r>
        <w:t>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§26210. Rules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§26210. Rules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§26210. RULES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