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4764</w:t>
        <w:t xml:space="preserve">.  </w:t>
      </w:r>
      <w:r>
        <w:rPr>
          <w:b/>
        </w:rPr>
        <w:t xml:space="preserve">Duties of custodial law enforcement agencies</w:t>
      </w:r>
    </w:p>
    <w:p>
      <w:pPr>
        <w:jc w:val="both"/>
        <w:spacing w:before="100" w:after="100"/>
        <w:ind w:start="360"/>
        <w:ind w:firstLine="360"/>
      </w:pPr>
      <w:r>
        <w:rPr/>
      </w:r>
      <w:r>
        <w:rPr/>
      </w:r>
      <w:r>
        <w:t xml:space="preserve">A law enforcement agency shall, for an inmate in the agency's custody:</w:t>
      </w:r>
      <w:r>
        <w:t xml:space="preserve">  </w:t>
      </w:r>
      <w:r xmlns:wp="http://schemas.openxmlformats.org/drawingml/2010/wordprocessingDrawing" xmlns:w15="http://schemas.microsoft.com/office/word/2012/wordml">
        <w:rPr>
          <w:rFonts w:ascii="Arial" w:hAnsi="Arial" w:cs="Arial"/>
          <w:sz w:val="22"/>
          <w:szCs w:val="22"/>
        </w:rPr>
        <w:t xml:space="preserve">[PL 2025, c. 517, §1 (NEW).]</w:t>
      </w:r>
    </w:p>
    <w:p>
      <w:pPr>
        <w:jc w:val="both"/>
        <w:spacing w:before="100" w:after="0"/>
        <w:ind w:start="360"/>
        <w:ind w:firstLine="360"/>
      </w:pPr>
      <w:r>
        <w:rPr>
          <w:b/>
        </w:rPr>
        <w:t>1</w:t>
        <w:t xml:space="preserve">.  </w:t>
      </w:r>
      <w:r>
        <w:rPr>
          <w:b/>
        </w:rPr>
        <w:t xml:space="preserve">Written consent for voluntary interview.</w:t>
        <w:t xml:space="preserve"> </w:t>
      </w:r>
      <w:r>
        <w:t xml:space="preserve"> </w:t>
      </w:r>
      <w:r>
        <w:t xml:space="preserve">In advance of an interview between the inmate and an immigration authority regarding a civil immigration violation, provide the inmate with a written consent form that explains the purpose of the interview, that the interview is voluntary and that the inmate may decline the interview or be interviewed only with the inmate's attorney present. The consent form must be written in the primary language of the inmate and read to the inmate by a person who is not an immigration authority. This paragraph does not establish a right of counsel that otherwise does not exist in law; 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w:pPr>
        <w:jc w:val="both"/>
        <w:spacing w:before="100" w:after="0"/>
        <w:ind w:start="360"/>
        <w:ind w:firstLine="360"/>
      </w:pPr>
      <w:r>
        <w:rPr>
          <w:b/>
        </w:rPr>
        <w:t>2</w:t>
        <w:t xml:space="preserve">.  </w:t>
      </w:r>
      <w:r>
        <w:rPr>
          <w:b/>
        </w:rPr>
        <w:t xml:space="preserve">Notice of hold request.</w:t>
        <w:t xml:space="preserve"> </w:t>
      </w:r>
      <w:r>
        <w:t xml:space="preserve"> </w:t>
      </w:r>
      <w:r>
        <w:t xml:space="preserve">Upon receiving a hold request, provide a copy of the request to the inmate and inform the inmate that the law enforcement agency is prohibited under section 4763 from detaining an inmate based solely on the hold request.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517,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§4764. Duties of custodial law enforcement agencies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§4764. Duties of custodial law enforcement agencies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§4764. DUTIES OF CUSTODIAL LAW ENFORCEMENT AGENCIES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