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4765</w:t>
        <w:t xml:space="preserve">.  </w:t>
      </w:r>
      <w:r>
        <w:rPr>
          <w:b/>
        </w:rPr>
        <w:t xml:space="preserve">Records</w:t>
      </w:r>
    </w:p>
    <w:p>
      <w:pPr>
        <w:jc w:val="both"/>
        <w:spacing w:before="100" w:after="100"/>
        <w:ind w:start="360"/>
        <w:ind w:firstLine="360"/>
      </w:pPr>
      <w:r>
        <w:rPr/>
      </w:r>
      <w:r>
        <w:rPr/>
      </w:r>
      <w:r>
        <w:t xml:space="preserve">A law enforcement agency shall make reasonable efforts to retain for a period of 4 years a copy of a hold request and any other request along with any accompanying information or documentation provided by an immigration authority and information on the inmate subject to the hold request.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§4765.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§4765.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§4765.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