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Department of Corrections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positions of deputy commissioner and 2 associate commissioners are major policy-influencing positions within the Department of Corrections.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1995, c. 502, §F2 (RPR). PL 1999, c. 731, §G1 (AMD). PL 2013, c. 491,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§936.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§936.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