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w:t>
        <w:t xml:space="preserve">.  </w:t>
      </w:r>
      <w:r>
        <w:rPr>
          <w:b/>
        </w:rPr>
        <w:t xml:space="preserve">Violations</w:t>
      </w:r>
    </w:p>
    <w:p>
      <w:pPr>
        <w:jc w:val="both"/>
        <w:spacing w:before="100" w:after="0"/>
        <w:ind w:start="360"/>
        <w:ind w:firstLine="360"/>
      </w:pPr>
      <w:r>
        <w:rPr>
          <w:b/>
        </w:rPr>
        <w:t>1</w:t>
        <w:t xml:space="preserve">.  </w:t>
      </w:r>
      <w:r>
        <w:rPr>
          <w:b/>
        </w:rPr>
        <w:t xml:space="preserve">Violation.</w:t>
        <w:t xml:space="preserve"> </w:t>
      </w:r>
      <w:r>
        <w:t xml:space="preserve"> </w:t>
      </w:r>
      <w:r>
        <w:t xml:space="preserve">A person, firm or corporation may not violate this subchapter or a rule adopted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§11 (NEW); PL 2003, c. 452, Pt. X, §2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147, §7 (AMD).]</w:t>
      </w:r>
    </w:p>
    <w:p>
      <w:pPr>
        <w:jc w:val="both"/>
        <w:spacing w:before="100" w:after="0"/>
        <w:ind w:start="720"/>
      </w:pPr>
      <w:r>
        <w:rPr/>
        <w:t>B</w:t>
        <w:t xml:space="preserve">.  </w:t>
      </w:r>
      <w:r>
        <w:rPr/>
      </w:r>
      <w:r>
        <w:t xml:space="preserve">A person who violates </w:t>
      </w:r>
      <w:r>
        <w:t>subsection 1</w:t>
      </w:r>
      <w:r>
        <w:t xml:space="preserve"> after having previously violated subsection 1 commits a civil violation for which a fine of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147,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147, §7 (AMD).]</w:t>
      </w:r>
    </w:p>
    <w:p>
      <w:pPr>
        <w:jc w:val="both"/>
        <w:spacing w:before="100" w:after="0"/>
        <w:ind w:start="360"/>
        <w:ind w:firstLine="360"/>
      </w:pPr>
      <w:r>
        <w:rPr>
          <w:b/>
        </w:rPr>
        <w:t>3</w:t>
        <w:t xml:space="preserve">.  </w:t>
      </w:r>
      <w:r>
        <w:rPr>
          <w:b/>
        </w:rPr>
        <w:t xml:space="preserve">Application.</w:t>
        <w:t xml:space="preserve"> </w:t>
      </w:r>
      <w:r>
        <w:t xml:space="preserve"> </w:t>
      </w:r>
      <w:r>
        <w:t xml:space="preserve">This subchapter may not be construed as requiring the commissioner or the commissioner's agent to report for suit or for the institution of seizure proceedings as a result of minor violations of this subchapter when the commissioner believes that the public interest will be best served by a suitable notice of warning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§72 (RPR). PL 2003, c. 452, §B11 (RPR). PL 2003, c. 452, §X2 (AFF). PL 2007, c. 147,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§750.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§750.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