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Registration</w:t>
      </w:r>
    </w:p>
    <w:p>
      <w:pPr>
        <w:jc w:val="both"/>
        <w:spacing w:before="100" w:after="0"/>
        <w:ind w:start="360"/>
        <w:ind w:firstLine="360"/>
      </w:pPr>
      <w:r>
        <w:rPr>
          <w:b/>
        </w:rPr>
        <w:t>1</w:t>
        <w:t xml:space="preserve">.  </w:t>
      </w:r>
      <w:r>
        <w:rPr>
          <w:b/>
        </w:rPr>
        <w:t xml:space="preserve">Registration required; fee.</w:t>
        <w:t xml:space="preserve"> </w:t>
      </w:r>
      <w:r>
        <w:t xml:space="preserve"> </w:t>
      </w:r>
      <w:r>
        <w:t xml:space="preserve">Each separately identified agricultural liming product shall be registered before being offered for sale, sold or distributed in the State.  The application for registration shall be submitted to the commissioner on forms furnished or approved by the commissioner and shall be accompanied by a fee of $50.  Upon approval by the commissioner, a copy of the registration shall be furnished to the applicant.  All registrations expire on December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Fees; nonlapsing fund.</w:t>
        <w:t xml:space="preserve"> </w:t>
      </w:r>
      <w:r>
        <w:t xml:space="preserve"> </w:t>
      </w:r>
      <w:r>
        <w:t xml:space="preserve">The commissioner shall collect all fees under this subchapter and </w:t>
      </w:r>
      <w:r>
        <w:t>section 743</w:t>
      </w:r>
      <w:r>
        <w:t xml:space="preserve"> and deposit them with the Treasurer of State in a separate account to be used for carrying out this subchapter and </w:t>
      </w:r>
      <w:r>
        <w:t>subchapter 5</w:t>
      </w:r>
      <w:r>
        <w:t xml:space="preserve">, including the cost of inspection, sampling and analysis of commercial fertilizers and agricultural liming materials.  These funds do not lapse, but remain in a carry-over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§8 (AMD).]</w:t>
      </w:r>
    </w:p>
    <w:p>
      <w:pPr>
        <w:jc w:val="both"/>
        <w:spacing w:before="100" w:after="0"/>
        <w:ind w:start="360"/>
        <w:ind w:firstLine="360"/>
      </w:pPr>
      <w:r>
        <w:rPr>
          <w:b/>
        </w:rPr>
        <w:t>3</w:t>
        <w:t xml:space="preserve">.  </w:t>
      </w:r>
      <w:r>
        <w:rPr>
          <w:b/>
        </w:rPr>
        <w:t xml:space="preserve">Registration not required if already registered.</w:t>
        <w:t xml:space="preserve"> </w:t>
      </w:r>
      <w:r>
        <w:t xml:space="preserve"> </w:t>
      </w:r>
      <w:r>
        <w:t xml:space="preserve">A distributor shall not be required to register any brand of agricultural liming material which is already registered under this subchapter by another person, provided that the label does not differ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§4 (AMD). PL 2015, c. 191,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