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Misbranding</w:t>
      </w:r>
    </w:p>
    <w:p>
      <w:pPr>
        <w:jc w:val="both"/>
        <w:spacing w:before="100" w:after="100"/>
        <w:ind w:start="360"/>
        <w:ind w:firstLine="360"/>
      </w:pPr>
      <w:r>
        <w:rPr/>
      </w:r>
      <w:r>
        <w:rPr/>
      </w:r>
      <w:r>
        <w:t xml:space="preserve">No person shall distribute a misbranded plant or soil amendment. A plant or soil amendment shall be deemed to be misbranded if:</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False labeling.</w:t>
        <w:t xml:space="preserve"> </w:t>
      </w:r>
      <w:r>
        <w:t xml:space="preserve"> </w:t>
      </w:r>
      <w:r>
        <w:t xml:space="preserve">Its labeling is false or misleading in any particular;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Not labeled.</w:t>
        <w:t xml:space="preserve"> </w:t>
      </w:r>
      <w:r>
        <w:t xml:space="preserve"> </w:t>
      </w:r>
      <w:r>
        <w:t xml:space="preserve">If it is not labeled as required in this subchapter;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Nonconformance.</w:t>
        <w:t xml:space="preserve"> </w:t>
      </w:r>
      <w:r>
        <w:t xml:space="preserve"> </w:t>
      </w:r>
      <w:r>
        <w:t xml:space="preserve">If it does not conform to ingredient form or investigational allowances in the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§782. Misbranding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Misbranding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§782. MISBRANDING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