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Violations</w:t>
      </w:r>
    </w:p>
    <w:p>
      <w:pPr>
        <w:jc w:val="both"/>
        <w:spacing w:before="100" w:after="100"/>
        <w:ind w:start="360"/>
        <w:ind w:firstLine="360"/>
      </w:pPr>
      <w:r>
        <w:rPr/>
      </w:r>
      <w:r>
        <w:rPr/>
      </w:r>
      <w:r>
        <w:t xml:space="preserve">A person who violates any of the provisions of this subchapter commits a civil violation for which the following fines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fine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w:t>
      </w:r>
    </w:p>
    <w:p>
      <w:pPr>
        <w:jc w:val="both"/>
        <w:spacing w:before="100" w:after="0"/>
        <w:ind w:start="360"/>
        <w:ind w:firstLine="360"/>
      </w:pPr>
      <w:r>
        <w:rPr>
          <w:b/>
        </w:rPr>
        <w:t>2</w:t>
        <w:t xml:space="preserve">.  </w:t>
      </w:r>
      <w:r>
        <w:rPr>
          <w:b/>
        </w:rPr>
        <w:t xml:space="preserve">Subsequent violations.</w:t>
        <w:t xml:space="preserve"> </w:t>
      </w:r>
      <w:r>
        <w:t xml:space="preserve"> </w:t>
      </w:r>
      <w:r>
        <w:t xml:space="preserve">For each subsequent violation, a fine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§905.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§905.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